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D90E9" w14:textId="77777777" w:rsidR="00CB3C26" w:rsidRPr="00CB3C26" w:rsidRDefault="00CB3C26" w:rsidP="00CB3C26">
      <w:pPr>
        <w:ind w:firstLine="0"/>
        <w:jc w:val="right"/>
      </w:pPr>
      <w:bookmarkStart w:id="0" w:name="_GoBack"/>
      <w:r w:rsidRPr="00CB3C26">
        <w:t>Утвержден</w:t>
      </w:r>
    </w:p>
    <w:p w14:paraId="53BD1B3A" w14:textId="77777777" w:rsidR="00CB3C26" w:rsidRPr="00CB3C26" w:rsidRDefault="00CB3C26" w:rsidP="00CB3C26">
      <w:pPr>
        <w:ind w:firstLine="0"/>
        <w:jc w:val="right"/>
      </w:pPr>
      <w:r w:rsidRPr="00CB3C26">
        <w:t>постановлением Администрации</w:t>
      </w:r>
    </w:p>
    <w:p w14:paraId="18CA5F28" w14:textId="77777777" w:rsidR="00CB3C26" w:rsidRPr="00CB3C26" w:rsidRDefault="00CB3C26" w:rsidP="00CB3C26">
      <w:pPr>
        <w:ind w:firstLine="0"/>
        <w:jc w:val="right"/>
      </w:pPr>
      <w:r w:rsidRPr="00CB3C26">
        <w:t>Балахнинского муниципального округа</w:t>
      </w:r>
    </w:p>
    <w:p w14:paraId="26B14844" w14:textId="77777777" w:rsidR="00CB3C26" w:rsidRPr="00CB3C26" w:rsidRDefault="00CB3C26" w:rsidP="00CB3C26">
      <w:pPr>
        <w:ind w:firstLine="0"/>
        <w:jc w:val="right"/>
      </w:pPr>
      <w:r w:rsidRPr="00CB3C26">
        <w:t>Нижегородской области</w:t>
      </w:r>
    </w:p>
    <w:p w14:paraId="7A2E1E29" w14:textId="48285B00" w:rsidR="00CB3C26" w:rsidRPr="00CB3C26" w:rsidRDefault="00CB3C26" w:rsidP="00CB3C26">
      <w:pPr>
        <w:ind w:firstLine="0"/>
        <w:jc w:val="right"/>
      </w:pPr>
      <w:r w:rsidRPr="00CB3C26">
        <w:t xml:space="preserve">от </w:t>
      </w:r>
      <w:r>
        <w:t>06.02.2026</w:t>
      </w:r>
      <w:r w:rsidRPr="00CB3C26">
        <w:t xml:space="preserve"> № </w:t>
      </w:r>
      <w:r>
        <w:t>224</w:t>
      </w:r>
    </w:p>
    <w:p w14:paraId="5647F358" w14:textId="77777777" w:rsidR="00CB3C26" w:rsidRPr="00CB3C26" w:rsidRDefault="00CB3C26" w:rsidP="00CB3C26">
      <w:pPr>
        <w:pStyle w:val="15"/>
        <w:jc w:val="center"/>
      </w:pPr>
    </w:p>
    <w:p w14:paraId="214F58E7" w14:textId="77777777" w:rsidR="00CB3C26" w:rsidRPr="00CB3C26" w:rsidRDefault="00CB3C26" w:rsidP="00CB3C26">
      <w:pPr>
        <w:pStyle w:val="15"/>
        <w:jc w:val="center"/>
      </w:pPr>
    </w:p>
    <w:p w14:paraId="7C1258E7" w14:textId="77777777" w:rsidR="00CB3C26" w:rsidRPr="00CB3C26" w:rsidRDefault="00CB3C26" w:rsidP="00CB3C26">
      <w:pPr>
        <w:pStyle w:val="15"/>
        <w:jc w:val="center"/>
        <w:rPr>
          <w:b/>
        </w:rPr>
      </w:pPr>
      <w:r w:rsidRPr="00CB3C26">
        <w:rPr>
          <w:b/>
        </w:rPr>
        <w:t>ПЕРЕЧЕНЬ</w:t>
      </w:r>
    </w:p>
    <w:p w14:paraId="66E97E97" w14:textId="77777777" w:rsidR="00CB3C26" w:rsidRPr="00CB3C26" w:rsidRDefault="00CB3C26" w:rsidP="00CB3C26">
      <w:pPr>
        <w:pStyle w:val="15"/>
        <w:jc w:val="center"/>
        <w:rPr>
          <w:b/>
        </w:rPr>
      </w:pPr>
      <w:r w:rsidRPr="00CB3C26">
        <w:rPr>
          <w:b/>
        </w:rPr>
        <w:t>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14:paraId="26AA5D9E" w14:textId="77777777" w:rsidR="00CB3C26" w:rsidRPr="00CB3C26" w:rsidRDefault="00CB3C26" w:rsidP="00CB3C26">
      <w:pPr>
        <w:pStyle w:val="15"/>
        <w:jc w:val="center"/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250"/>
      </w:tblGrid>
      <w:tr w:rsidR="00CB3C26" w:rsidRPr="00CB3C26" w14:paraId="760E653C" w14:textId="77777777" w:rsidTr="00FA4300">
        <w:tc>
          <w:tcPr>
            <w:tcW w:w="1134" w:type="dxa"/>
          </w:tcPr>
          <w:p w14:paraId="70D64C6A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E6C6D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D27D6C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8250" w:type="dxa"/>
          </w:tcPr>
          <w:p w14:paraId="4F225A52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EFDD91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54140573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муниципальной/государственной услуги</w:t>
            </w:r>
          </w:p>
          <w:p w14:paraId="1F21FDB2" w14:textId="77777777" w:rsidR="00CB3C26" w:rsidRPr="00CB3C26" w:rsidRDefault="00CB3C26" w:rsidP="00FA4300">
            <w:pPr>
              <w:pStyle w:val="27"/>
              <w:shd w:val="clear" w:color="auto" w:fill="auto"/>
              <w:spacing w:line="276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3C26" w:rsidRPr="00CB3C26" w14:paraId="1B112537" w14:textId="77777777" w:rsidTr="00FA4300">
        <w:tc>
          <w:tcPr>
            <w:tcW w:w="1134" w:type="dxa"/>
          </w:tcPr>
          <w:p w14:paraId="214EAB41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620CAB36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Балахнинского муниципального округа Нижегородской области (приватизация жилищного фонда)</w:t>
            </w:r>
          </w:p>
        </w:tc>
      </w:tr>
      <w:tr w:rsidR="00CB3C26" w:rsidRPr="00CB3C26" w14:paraId="505FBE33" w14:textId="77777777" w:rsidTr="00FA4300">
        <w:tc>
          <w:tcPr>
            <w:tcW w:w="1134" w:type="dxa"/>
          </w:tcPr>
          <w:p w14:paraId="7BCD6659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11DC6D74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Приём заявлений, постановка на учет и зачисление детей в образовательные организации, реализующие образовательные программы дошкольного образования (детские сады) Балахнинского муниципального округа Нижегородской области</w:t>
            </w:r>
          </w:p>
        </w:tc>
      </w:tr>
      <w:tr w:rsidR="00CB3C26" w:rsidRPr="00CB3C26" w14:paraId="2AB23EDD" w14:textId="77777777" w:rsidTr="00FA4300">
        <w:tc>
          <w:tcPr>
            <w:tcW w:w="1134" w:type="dxa"/>
          </w:tcPr>
          <w:p w14:paraId="04109A2D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0BF75631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CB3C26" w:rsidRPr="00CB3C26" w14:paraId="63FD95CD" w14:textId="77777777" w:rsidTr="00FA4300">
        <w:tc>
          <w:tcPr>
            <w:tcW w:w="1134" w:type="dxa"/>
          </w:tcPr>
          <w:p w14:paraId="13226C72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2AA701D2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3C26"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CB3C26" w:rsidRPr="00CB3C26" w14:paraId="04648AB7" w14:textId="77777777" w:rsidTr="00FA4300">
        <w:tc>
          <w:tcPr>
            <w:tcW w:w="1134" w:type="dxa"/>
          </w:tcPr>
          <w:p w14:paraId="1268C260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57F59BBD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</w:pPr>
            <w:r w:rsidRPr="00CB3C26"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  <w:t>Выдача разрешения на установку и эксплуатацию рекламных   конструкций на соответствующей территории, аннулирование   такого разрешения</w:t>
            </w:r>
          </w:p>
        </w:tc>
      </w:tr>
      <w:tr w:rsidR="00CB3C26" w:rsidRPr="00CB3C26" w14:paraId="54A33E43" w14:textId="77777777" w:rsidTr="00FA4300">
        <w:tc>
          <w:tcPr>
            <w:tcW w:w="1134" w:type="dxa"/>
          </w:tcPr>
          <w:p w14:paraId="202A34EC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0E3CFC2F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</w:pPr>
            <w:r w:rsidRPr="00CB3C26"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  <w:t>Выдача градостроительного плана земельного участка</w:t>
            </w:r>
          </w:p>
        </w:tc>
      </w:tr>
      <w:tr w:rsidR="00CB3C26" w:rsidRPr="00CB3C26" w14:paraId="00EF771B" w14:textId="77777777" w:rsidTr="00FA4300">
        <w:tc>
          <w:tcPr>
            <w:tcW w:w="1134" w:type="dxa"/>
          </w:tcPr>
          <w:p w14:paraId="15986A1B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132B5884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Style w:val="16"/>
                <w:rFonts w:ascii="Times New Roman" w:eastAsia="Arial" w:hAnsi="Times New Roman" w:cs="Times New Roman"/>
                <w:color w:val="000000" w:themeColor="text1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CB3C26" w:rsidRPr="00CB3C26" w14:paraId="5A4DD239" w14:textId="77777777" w:rsidTr="00FA4300">
        <w:tc>
          <w:tcPr>
            <w:tcW w:w="1134" w:type="dxa"/>
          </w:tcPr>
          <w:p w14:paraId="7DB8EE4B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3A9AA8E3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отдыха детей в каникулярное время (оздоровительно-образовательные центры (лагеря)) </w:t>
            </w:r>
          </w:p>
        </w:tc>
      </w:tr>
      <w:tr w:rsidR="00CB3C26" w:rsidRPr="00CB3C26" w14:paraId="7C05B4DB" w14:textId="77777777" w:rsidTr="00FA4300">
        <w:tc>
          <w:tcPr>
            <w:tcW w:w="1134" w:type="dxa"/>
          </w:tcPr>
          <w:p w14:paraId="7686B2AA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28811B6C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:rsidR="00CB3C26" w:rsidRPr="00CB3C26" w14:paraId="40A70CAC" w14:textId="77777777" w:rsidTr="00FA4300">
        <w:tc>
          <w:tcPr>
            <w:tcW w:w="1134" w:type="dxa"/>
          </w:tcPr>
          <w:p w14:paraId="01F81F5D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26D7D22F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CB3C26" w:rsidRPr="00CB3C26" w14:paraId="342BC5F1" w14:textId="77777777" w:rsidTr="00FA4300">
        <w:tc>
          <w:tcPr>
            <w:tcW w:w="1134" w:type="dxa"/>
          </w:tcPr>
          <w:p w14:paraId="639E0AC8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Align w:val="bottom"/>
          </w:tcPr>
          <w:p w14:paraId="411094DD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CB3C26" w:rsidRPr="00CB3C26" w14:paraId="446DF2CA" w14:textId="77777777" w:rsidTr="00FA4300">
        <w:trPr>
          <w:trHeight w:val="393"/>
        </w:trPr>
        <w:tc>
          <w:tcPr>
            <w:tcW w:w="1134" w:type="dxa"/>
            <w:vMerge w:val="restart"/>
          </w:tcPr>
          <w:p w14:paraId="0E55785C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Merge w:val="restart"/>
          </w:tcPr>
          <w:p w14:paraId="7FF711AC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CB3C26" w:rsidRPr="00CB3C26" w14:paraId="7377257E" w14:textId="77777777" w:rsidTr="00FA4300">
        <w:trPr>
          <w:trHeight w:val="393"/>
        </w:trPr>
        <w:tc>
          <w:tcPr>
            <w:tcW w:w="1134" w:type="dxa"/>
            <w:vMerge w:val="restart"/>
          </w:tcPr>
          <w:p w14:paraId="4907FA3C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Merge w:val="restart"/>
          </w:tcPr>
          <w:p w14:paraId="5217BB3E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CB3C26" w:rsidRPr="00CB3C26" w14:paraId="0E6C157D" w14:textId="77777777" w:rsidTr="00FA4300">
        <w:trPr>
          <w:trHeight w:val="393"/>
        </w:trPr>
        <w:tc>
          <w:tcPr>
            <w:tcW w:w="1134" w:type="dxa"/>
            <w:vMerge w:val="restart"/>
          </w:tcPr>
          <w:p w14:paraId="3CE64929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vMerge w:val="restart"/>
          </w:tcPr>
          <w:p w14:paraId="6991836E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CB3C26" w:rsidRPr="00CB3C26" w14:paraId="371E21B5" w14:textId="77777777" w:rsidTr="00FA4300">
        <w:trPr>
          <w:trHeight w:val="370"/>
        </w:trPr>
        <w:tc>
          <w:tcPr>
            <w:tcW w:w="1134" w:type="dxa"/>
          </w:tcPr>
          <w:p w14:paraId="63811FEB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</w:tcPr>
          <w:p w14:paraId="6BB26D75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акта освидетельствования проведения основных работ по </w:t>
            </w: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CB3C26" w:rsidRPr="00CB3C26" w14:paraId="4BE9F6AB" w14:textId="77777777" w:rsidTr="00FA4300">
        <w:trPr>
          <w:trHeight w:val="370"/>
        </w:trPr>
        <w:tc>
          <w:tcPr>
            <w:tcW w:w="1134" w:type="dxa"/>
          </w:tcPr>
          <w:p w14:paraId="19FFEE81" w14:textId="77777777" w:rsidR="00CB3C26" w:rsidRPr="00CB3C26" w:rsidRDefault="00CB3C26" w:rsidP="00CB3C26">
            <w:pPr>
              <w:pStyle w:val="27"/>
              <w:numPr>
                <w:ilvl w:val="0"/>
                <w:numId w:val="17"/>
              </w:numPr>
              <w:shd w:val="clear" w:color="auto" w:fill="auto"/>
              <w:spacing w:line="276" w:lineRule="auto"/>
              <w:ind w:left="0" w:right="140" w:firstLin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</w:tcPr>
          <w:p w14:paraId="0A6D84DD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</w:t>
            </w:r>
          </w:p>
          <w:p w14:paraId="268EB607" w14:textId="77777777" w:rsidR="00CB3C26" w:rsidRPr="00CB3C26" w:rsidRDefault="00CB3C26" w:rsidP="00FA430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</w:tbl>
    <w:p w14:paraId="69A8ECF0" w14:textId="77777777" w:rsidR="00CB3C26" w:rsidRPr="007B1755" w:rsidRDefault="00CB3C26" w:rsidP="00CB3C26">
      <w:pPr>
        <w:pStyle w:val="15"/>
        <w:jc w:val="both"/>
        <w:rPr>
          <w:sz w:val="28"/>
          <w:szCs w:val="28"/>
        </w:rPr>
      </w:pPr>
    </w:p>
    <w:bookmarkEnd w:id="0"/>
    <w:p w14:paraId="35B62955" w14:textId="77777777" w:rsidR="00635730" w:rsidRDefault="00635730" w:rsidP="000F4448">
      <w:pPr>
        <w:ind w:firstLine="0"/>
        <w:jc w:val="center"/>
        <w:rPr>
          <w:b/>
          <w:bCs/>
        </w:rPr>
      </w:pPr>
    </w:p>
    <w:sectPr w:rsidR="00635730" w:rsidSect="00CB3C26">
      <w:pgSz w:w="11907" w:h="16840" w:code="9"/>
      <w:pgMar w:top="-1135" w:right="567" w:bottom="-907" w:left="1134" w:header="284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080A0" w14:textId="77777777" w:rsidR="004868AF" w:rsidRDefault="004868AF" w:rsidP="007F0268">
      <w:r>
        <w:separator/>
      </w:r>
    </w:p>
  </w:endnote>
  <w:endnote w:type="continuationSeparator" w:id="0">
    <w:p w14:paraId="50689AFB" w14:textId="77777777" w:rsidR="004868AF" w:rsidRDefault="004868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BD072" w14:textId="77777777" w:rsidR="004868AF" w:rsidRDefault="004868AF" w:rsidP="007F0268">
      <w:r>
        <w:separator/>
      </w:r>
    </w:p>
  </w:footnote>
  <w:footnote w:type="continuationSeparator" w:id="0">
    <w:p w14:paraId="4008F06B" w14:textId="77777777" w:rsidR="004868AF" w:rsidRDefault="004868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3E66D0B"/>
    <w:multiLevelType w:val="hybridMultilevel"/>
    <w:tmpl w:val="2DE65A62"/>
    <w:lvl w:ilvl="0" w:tplc="E3640310">
      <w:start w:val="1"/>
      <w:numFmt w:val="decimal"/>
      <w:lvlText w:val="%1."/>
      <w:lvlJc w:val="left"/>
      <w:pPr>
        <w:ind w:left="720" w:hanging="360"/>
      </w:pPr>
    </w:lvl>
    <w:lvl w:ilvl="1" w:tplc="DB7A9BD4">
      <w:start w:val="1"/>
      <w:numFmt w:val="lowerLetter"/>
      <w:lvlText w:val="%2."/>
      <w:lvlJc w:val="left"/>
      <w:pPr>
        <w:ind w:left="1440" w:hanging="360"/>
      </w:pPr>
    </w:lvl>
    <w:lvl w:ilvl="2" w:tplc="9A065E46">
      <w:start w:val="1"/>
      <w:numFmt w:val="lowerRoman"/>
      <w:lvlText w:val="%3."/>
      <w:lvlJc w:val="right"/>
      <w:pPr>
        <w:ind w:left="2160" w:hanging="180"/>
      </w:pPr>
    </w:lvl>
    <w:lvl w:ilvl="3" w:tplc="1974ED34">
      <w:start w:val="1"/>
      <w:numFmt w:val="decimal"/>
      <w:lvlText w:val="%4."/>
      <w:lvlJc w:val="left"/>
      <w:pPr>
        <w:ind w:left="2880" w:hanging="360"/>
      </w:pPr>
    </w:lvl>
    <w:lvl w:ilvl="4" w:tplc="800AA664">
      <w:start w:val="1"/>
      <w:numFmt w:val="lowerLetter"/>
      <w:lvlText w:val="%5."/>
      <w:lvlJc w:val="left"/>
      <w:pPr>
        <w:ind w:left="3600" w:hanging="360"/>
      </w:pPr>
    </w:lvl>
    <w:lvl w:ilvl="5" w:tplc="D6F63642">
      <w:start w:val="1"/>
      <w:numFmt w:val="lowerRoman"/>
      <w:lvlText w:val="%6."/>
      <w:lvlJc w:val="right"/>
      <w:pPr>
        <w:ind w:left="4320" w:hanging="180"/>
      </w:pPr>
    </w:lvl>
    <w:lvl w:ilvl="6" w:tplc="D2A6BC72">
      <w:start w:val="1"/>
      <w:numFmt w:val="decimal"/>
      <w:lvlText w:val="%7."/>
      <w:lvlJc w:val="left"/>
      <w:pPr>
        <w:ind w:left="5040" w:hanging="360"/>
      </w:pPr>
    </w:lvl>
    <w:lvl w:ilvl="7" w:tplc="F236842E">
      <w:start w:val="1"/>
      <w:numFmt w:val="lowerLetter"/>
      <w:lvlText w:val="%8."/>
      <w:lvlJc w:val="left"/>
      <w:pPr>
        <w:ind w:left="5760" w:hanging="360"/>
      </w:pPr>
    </w:lvl>
    <w:lvl w:ilvl="8" w:tplc="738C50A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8AF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7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4E5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5A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26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26">
    <w:name w:val="Основной текст (2)_"/>
    <w:link w:val="27"/>
    <w:rsid w:val="00CB3C26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B3C26"/>
    <w:pPr>
      <w:widowControl w:val="0"/>
      <w:shd w:val="clear" w:color="auto" w:fill="FFFFFF"/>
      <w:spacing w:line="320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af4">
    <w:name w:val="Абзац списка Знак"/>
    <w:link w:val="af3"/>
    <w:uiPriority w:val="34"/>
    <w:rsid w:val="00CB3C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Обычный1"/>
    <w:rsid w:val="00CB3C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26">
    <w:name w:val="Основной текст (2)_"/>
    <w:link w:val="27"/>
    <w:rsid w:val="00CB3C26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B3C26"/>
    <w:pPr>
      <w:widowControl w:val="0"/>
      <w:shd w:val="clear" w:color="auto" w:fill="FFFFFF"/>
      <w:spacing w:line="320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af4">
    <w:name w:val="Абзац списка Знак"/>
    <w:link w:val="af3"/>
    <w:uiPriority w:val="34"/>
    <w:rsid w:val="00CB3C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Обычный1"/>
    <w:rsid w:val="00CB3C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B4E4-98ED-4E6A-8CC3-03708B22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2026-02-06T12:43:00Z</dcterms:created>
  <dcterms:modified xsi:type="dcterms:W3CDTF">2026-02-06T13:08:00Z</dcterms:modified>
</cp:coreProperties>
</file>